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电动晾衣架产品质量国家监督抽查实施细则</w:t>
      </w:r>
    </w:p>
    <w:p>
      <w:pPr>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（2022年版）</w:t>
      </w:r>
    </w:p>
    <w:p>
      <w:pPr>
        <w:adjustRightInd w:val="0"/>
        <w:snapToGrid w:val="0"/>
        <w:spacing w:line="594" w:lineRule="exact"/>
        <w:jc w:val="center"/>
        <w:rPr>
          <w:rFonts w:hint="default" w:ascii="Times New Roman" w:hAnsi="Times New Roman" w:eastAsia="方正小标宋简体" w:cs="Times New Roman"/>
          <w:color w:val="000000"/>
          <w:sz w:val="32"/>
          <w:szCs w:val="32"/>
        </w:rPr>
      </w:pPr>
    </w:p>
    <w:p>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1 抽样方法</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以随机抽样的方式在被抽样生产者、销售者的待销产品中抽取。</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每批次产品抽取样品3台，其中2台作为检验样品，1台作为备用样品。</w:t>
      </w:r>
    </w:p>
    <w:p>
      <w:pPr>
        <w:snapToGrid w:val="0"/>
        <w:spacing w:line="440" w:lineRule="exact"/>
        <w:ind w:firstLine="420" w:firstLineChars="200"/>
        <w:rPr>
          <w:rFonts w:hint="default" w:ascii="Times New Roman" w:hAnsi="Times New Roman" w:cs="Times New Roman"/>
          <w:color w:val="000000"/>
          <w:szCs w:val="21"/>
        </w:rPr>
      </w:pPr>
    </w:p>
    <w:p>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2 检验依据</w:t>
      </w:r>
    </w:p>
    <w:p>
      <w:pPr>
        <w:snapToGrid w:val="0"/>
        <w:spacing w:line="440" w:lineRule="exact"/>
        <w:rPr>
          <w:rFonts w:hint="default" w:ascii="Times New Roman" w:hAnsi="Times New Roman" w:eastAsia="黑体" w:cs="Times New Roman"/>
          <w:color w:val="000000"/>
          <w:szCs w:val="21"/>
        </w:rPr>
      </w:pP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2"/>
        <w:gridCol w:w="4383"/>
        <w:gridCol w:w="3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jc w:val="center"/>
        </w:trPr>
        <w:tc>
          <w:tcPr>
            <w:tcW w:w="688" w:type="pct"/>
            <w:vAlign w:val="center"/>
          </w:tcPr>
          <w:p>
            <w:pPr>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序号</w:t>
            </w:r>
          </w:p>
        </w:tc>
        <w:tc>
          <w:tcPr>
            <w:tcW w:w="2389" w:type="pct"/>
            <w:vAlign w:val="center"/>
          </w:tcPr>
          <w:p>
            <w:pPr>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检验项目</w:t>
            </w:r>
          </w:p>
        </w:tc>
        <w:tc>
          <w:tcPr>
            <w:tcW w:w="1921" w:type="pct"/>
            <w:vAlign w:val="center"/>
          </w:tcPr>
          <w:p>
            <w:pPr>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对触及带电部件的防护</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bookmarkStart w:id="0" w:name="_GoBack"/>
            <w:bookmarkEnd w:id="0"/>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输入功率和电流</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3</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发热</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4</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工作温度下的泄漏电流和电气强度</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5</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耐潮湿</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6</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泄漏电流和电气强度</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7</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非正常工作（不包括第19.11.4条试验）</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8</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稳定性和机械危险</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9</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机械强度</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10</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结构（不包括第22.46条试验）</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11</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内部布线</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12</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电源连接和外部软线</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13</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外部导线用接线端子</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14</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接地措施</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15</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螺钉和连接</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16</w:t>
            </w:r>
          </w:p>
        </w:tc>
        <w:tc>
          <w:tcPr>
            <w:tcW w:w="2389" w:type="pct"/>
            <w:vAlign w:val="center"/>
          </w:tcPr>
          <w:p>
            <w:pPr>
              <w:snapToGrid w:val="0"/>
              <w:jc w:val="center"/>
              <w:rPr>
                <w:rFonts w:hint="default" w:ascii="Times New Roman" w:hAnsi="Times New Roman" w:cs="Times New Roman"/>
                <w:color w:val="000000"/>
                <w:szCs w:val="21"/>
              </w:rPr>
            </w:pPr>
            <w:r>
              <w:rPr>
                <w:rFonts w:hint="default" w:ascii="Times New Roman" w:hAnsi="Times New Roman" w:cs="Times New Roman"/>
              </w:rPr>
              <w:t>电气间隙、爬电距离和固体绝缘</w:t>
            </w:r>
          </w:p>
        </w:tc>
        <w:tc>
          <w:tcPr>
            <w:tcW w:w="1921" w:type="pct"/>
            <w:vAlign w:val="center"/>
          </w:tcPr>
          <w:p>
            <w:pPr>
              <w:snapToGrid w:val="0"/>
              <w:jc w:val="center"/>
              <w:rPr>
                <w:rFonts w:hint="default" w:ascii="Times New Roman" w:hAnsi="Times New Roman" w:cs="Times New Roman"/>
              </w:rPr>
            </w:pPr>
            <w:r>
              <w:rPr>
                <w:rFonts w:hint="default" w:ascii="Times New Roman" w:hAnsi="Times New Roman" w:cs="Times New Roman"/>
              </w:rPr>
              <w:t>GB 4706.1</w:t>
            </w:r>
            <w:r>
              <w:rPr>
                <w:rFonts w:hint="eastAsia" w:cs="Times New Roman"/>
                <w:lang w:eastAsia="zh-CN"/>
              </w:rPr>
              <w:t>—</w:t>
            </w:r>
            <w:r>
              <w:rPr>
                <w:rFonts w:hint="default" w:ascii="Times New Roman" w:hAnsi="Times New Roman" w:cs="Times New Roman"/>
              </w:rPr>
              <w:t>2005</w:t>
            </w:r>
          </w:p>
        </w:tc>
      </w:tr>
    </w:tbl>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hint="default" w:ascii="Times New Roman" w:hAnsi="Times New Roman" w:cs="Times New Roman"/>
          <w:color w:val="000000"/>
          <w:szCs w:val="21"/>
        </w:rPr>
      </w:pPr>
    </w:p>
    <w:p>
      <w:pPr>
        <w:spacing w:line="360" w:lineRule="auto"/>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3 判定规则</w:t>
      </w:r>
    </w:p>
    <w:p>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eastAsiaTheme="minorEastAsia"/>
          <w:color w:val="000000"/>
          <w:szCs w:val="21"/>
        </w:rPr>
        <w:t>3.1依据</w:t>
      </w:r>
      <w:r>
        <w:rPr>
          <w:rFonts w:hint="default" w:ascii="Times New Roman" w:hAnsi="Times New Roman" w:cs="Times New Roman"/>
          <w:color w:val="000000"/>
          <w:szCs w:val="21"/>
        </w:rPr>
        <w:t>标准</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4706.1</w:t>
      </w:r>
      <w:r>
        <w:rPr>
          <w:rFonts w:hint="eastAsia" w:cs="Times New Roman"/>
          <w:color w:val="000000"/>
          <w:szCs w:val="21"/>
          <w:lang w:eastAsia="zh-CN"/>
        </w:rPr>
        <w:t>—</w:t>
      </w:r>
      <w:r>
        <w:rPr>
          <w:rFonts w:hint="default" w:ascii="Times New Roman" w:hAnsi="Times New Roman" w:cs="Times New Roman"/>
          <w:color w:val="000000"/>
          <w:szCs w:val="21"/>
        </w:rPr>
        <w:t xml:space="preserve">2005 </w:t>
      </w:r>
      <w:r>
        <w:rPr>
          <w:rFonts w:hint="default" w:ascii="Times New Roman" w:hAnsi="Times New Roman" w:cs="Times New Roman"/>
        </w:rPr>
        <w:t>家用和类似用途电器的安全 第1部分：通用要求</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eastAsiaTheme="minorEastAsia"/>
          <w:color w:val="000000"/>
          <w:szCs w:val="21"/>
        </w:rPr>
        <w:t>3.2判定</w:t>
      </w:r>
      <w:r>
        <w:rPr>
          <w:rFonts w:hint="default" w:ascii="Times New Roman" w:hAnsi="Times New Roman" w:cs="Times New Roman"/>
          <w:color w:val="000000"/>
          <w:szCs w:val="21"/>
        </w:rPr>
        <w:t>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pacing w:line="440" w:lineRule="exact"/>
        <w:ind w:firstLine="420" w:firstLineChars="200"/>
        <w:rPr>
          <w:rFonts w:hint="default" w:ascii="Times New Roman" w:hAnsi="Times New Roman" w:cs="Times New Roman"/>
          <w:color w:val="FF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pacing w:line="440" w:lineRule="exact"/>
        <w:rPr>
          <w:rFonts w:hint="default" w:ascii="Times New Roman" w:hAnsi="Times New Roman" w:eastAsia="黑体" w:cs="Times New Roman"/>
          <w:color w:val="000000"/>
          <w:szCs w:val="21"/>
        </w:rPr>
      </w:pPr>
    </w:p>
    <w:p>
      <w:pPr>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4 附则</w:t>
      </w:r>
    </w:p>
    <w:p>
      <w:pPr>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本细则首次发布。</w:t>
      </w:r>
    </w:p>
    <w:p>
      <w:pPr>
        <w:spacing w:line="440" w:lineRule="exact"/>
        <w:rPr>
          <w:rFonts w:hint="default" w:ascii="Times New Roman" w:hAnsi="Times New Roman" w:eastAsia="黑体" w:cs="Times New Roman"/>
          <w:color w:val="000000"/>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0NzY4ZjY4ZmFkNmE5OTkyZTA2NjU2YzcyODMxNGYifQ=="/>
  </w:docVars>
  <w:rsids>
    <w:rsidRoot w:val="00172A27"/>
    <w:rsid w:val="00051A44"/>
    <w:rsid w:val="00081C59"/>
    <w:rsid w:val="00081CBD"/>
    <w:rsid w:val="000976DE"/>
    <w:rsid w:val="000E3AE2"/>
    <w:rsid w:val="00106D54"/>
    <w:rsid w:val="0013370A"/>
    <w:rsid w:val="00172A27"/>
    <w:rsid w:val="00172A5E"/>
    <w:rsid w:val="00174E13"/>
    <w:rsid w:val="001809DD"/>
    <w:rsid w:val="001B28F1"/>
    <w:rsid w:val="001C2360"/>
    <w:rsid w:val="001E7877"/>
    <w:rsid w:val="002047BC"/>
    <w:rsid w:val="0024241C"/>
    <w:rsid w:val="002472E8"/>
    <w:rsid w:val="00253624"/>
    <w:rsid w:val="00257764"/>
    <w:rsid w:val="002D7F8A"/>
    <w:rsid w:val="002E0D1D"/>
    <w:rsid w:val="002F65A1"/>
    <w:rsid w:val="003030B5"/>
    <w:rsid w:val="003203A3"/>
    <w:rsid w:val="00352705"/>
    <w:rsid w:val="003740BC"/>
    <w:rsid w:val="00391D4C"/>
    <w:rsid w:val="00397339"/>
    <w:rsid w:val="003B5712"/>
    <w:rsid w:val="003C388C"/>
    <w:rsid w:val="003E61BF"/>
    <w:rsid w:val="003F1D3A"/>
    <w:rsid w:val="00402020"/>
    <w:rsid w:val="00443410"/>
    <w:rsid w:val="00445E09"/>
    <w:rsid w:val="00445E86"/>
    <w:rsid w:val="00457095"/>
    <w:rsid w:val="00474E04"/>
    <w:rsid w:val="0048355A"/>
    <w:rsid w:val="004D0C5A"/>
    <w:rsid w:val="004E1396"/>
    <w:rsid w:val="00517F02"/>
    <w:rsid w:val="00563EBC"/>
    <w:rsid w:val="00570DA5"/>
    <w:rsid w:val="005A1DA4"/>
    <w:rsid w:val="005A4C6E"/>
    <w:rsid w:val="005A6BEE"/>
    <w:rsid w:val="005F28EC"/>
    <w:rsid w:val="005F4F67"/>
    <w:rsid w:val="005F797A"/>
    <w:rsid w:val="006426D0"/>
    <w:rsid w:val="00652194"/>
    <w:rsid w:val="00656F17"/>
    <w:rsid w:val="00687C20"/>
    <w:rsid w:val="0069193F"/>
    <w:rsid w:val="006B12C9"/>
    <w:rsid w:val="006B75DF"/>
    <w:rsid w:val="006C0DF2"/>
    <w:rsid w:val="006E1776"/>
    <w:rsid w:val="006F0971"/>
    <w:rsid w:val="007145A1"/>
    <w:rsid w:val="0072334C"/>
    <w:rsid w:val="0072641E"/>
    <w:rsid w:val="00761303"/>
    <w:rsid w:val="00761E8E"/>
    <w:rsid w:val="0076275F"/>
    <w:rsid w:val="00773C05"/>
    <w:rsid w:val="00792C6B"/>
    <w:rsid w:val="007E249F"/>
    <w:rsid w:val="007F7DCA"/>
    <w:rsid w:val="00811140"/>
    <w:rsid w:val="00847C99"/>
    <w:rsid w:val="00895BEA"/>
    <w:rsid w:val="008A3497"/>
    <w:rsid w:val="00900C71"/>
    <w:rsid w:val="009033E3"/>
    <w:rsid w:val="009036AB"/>
    <w:rsid w:val="00917A54"/>
    <w:rsid w:val="00934CC0"/>
    <w:rsid w:val="0098324E"/>
    <w:rsid w:val="00987066"/>
    <w:rsid w:val="009D3DE5"/>
    <w:rsid w:val="00A106E0"/>
    <w:rsid w:val="00A43553"/>
    <w:rsid w:val="00A57BB3"/>
    <w:rsid w:val="00A74959"/>
    <w:rsid w:val="00A82E32"/>
    <w:rsid w:val="00AB6892"/>
    <w:rsid w:val="00AD5DB9"/>
    <w:rsid w:val="00B82FAC"/>
    <w:rsid w:val="00B97BAA"/>
    <w:rsid w:val="00B97DC9"/>
    <w:rsid w:val="00C025B9"/>
    <w:rsid w:val="00C0554A"/>
    <w:rsid w:val="00C140BA"/>
    <w:rsid w:val="00C26074"/>
    <w:rsid w:val="00C26B7C"/>
    <w:rsid w:val="00C41E9E"/>
    <w:rsid w:val="00C7772B"/>
    <w:rsid w:val="00C83B0A"/>
    <w:rsid w:val="00CE1E02"/>
    <w:rsid w:val="00CE1E0C"/>
    <w:rsid w:val="00CE277E"/>
    <w:rsid w:val="00D12CFA"/>
    <w:rsid w:val="00D32B0F"/>
    <w:rsid w:val="00D404D4"/>
    <w:rsid w:val="00D56867"/>
    <w:rsid w:val="00D67129"/>
    <w:rsid w:val="00D935C1"/>
    <w:rsid w:val="00DD5560"/>
    <w:rsid w:val="00DE27B7"/>
    <w:rsid w:val="00DF17ED"/>
    <w:rsid w:val="00E02A7F"/>
    <w:rsid w:val="00E07880"/>
    <w:rsid w:val="00E20624"/>
    <w:rsid w:val="00E464B1"/>
    <w:rsid w:val="00E544CD"/>
    <w:rsid w:val="00E6422D"/>
    <w:rsid w:val="00E82621"/>
    <w:rsid w:val="00EB6AAC"/>
    <w:rsid w:val="00ED0572"/>
    <w:rsid w:val="00ED05A1"/>
    <w:rsid w:val="00ED7A29"/>
    <w:rsid w:val="00F002A6"/>
    <w:rsid w:val="00F51F99"/>
    <w:rsid w:val="00F57929"/>
    <w:rsid w:val="00F72435"/>
    <w:rsid w:val="00F77C9A"/>
    <w:rsid w:val="00FB576C"/>
    <w:rsid w:val="00FB700D"/>
    <w:rsid w:val="00FC0DE2"/>
    <w:rsid w:val="00FD2AA6"/>
    <w:rsid w:val="00FD44D2"/>
    <w:rsid w:val="00FE7E8A"/>
    <w:rsid w:val="00FF72DE"/>
    <w:rsid w:val="0C387B41"/>
    <w:rsid w:val="101B6B24"/>
    <w:rsid w:val="115B1C53"/>
    <w:rsid w:val="142D74AD"/>
    <w:rsid w:val="17233368"/>
    <w:rsid w:val="178A195A"/>
    <w:rsid w:val="180D2838"/>
    <w:rsid w:val="217F5B35"/>
    <w:rsid w:val="226C4AC8"/>
    <w:rsid w:val="234B68F8"/>
    <w:rsid w:val="25CD72FB"/>
    <w:rsid w:val="28036755"/>
    <w:rsid w:val="44542317"/>
    <w:rsid w:val="45746CC6"/>
    <w:rsid w:val="466D1D66"/>
    <w:rsid w:val="482938DD"/>
    <w:rsid w:val="4BA52C59"/>
    <w:rsid w:val="5B001BA1"/>
    <w:rsid w:val="5ED45FA1"/>
    <w:rsid w:val="735D37F1"/>
    <w:rsid w:val="78843483"/>
    <w:rsid w:val="7DCC7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kern w:val="0"/>
      <w:sz w:val="20"/>
      <w:szCs w:val="20"/>
    </w:rPr>
  </w:style>
  <w:style w:type="paragraph" w:styleId="3">
    <w:name w:val="Balloon Text"/>
    <w:basedOn w:val="1"/>
    <w:link w:val="9"/>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批注框文本 Char"/>
    <w:link w:val="3"/>
    <w:semiHidden/>
    <w:qFormat/>
    <w:uiPriority w:val="99"/>
    <w:rPr>
      <w:kern w:val="2"/>
      <w:sz w:val="18"/>
      <w:szCs w:val="18"/>
    </w:rPr>
  </w:style>
  <w:style w:type="character" w:customStyle="1" w:styleId="10">
    <w:name w:val="页脚 Char"/>
    <w:link w:val="4"/>
    <w:qFormat/>
    <w:uiPriority w:val="99"/>
    <w:rPr>
      <w:kern w:val="2"/>
      <w:sz w:val="18"/>
      <w:szCs w:val="18"/>
    </w:rPr>
  </w:style>
  <w:style w:type="character" w:customStyle="1" w:styleId="11">
    <w:name w:val="页眉 Char"/>
    <w:link w:val="5"/>
    <w:semiHidden/>
    <w:qFormat/>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804</Words>
  <Characters>981</Characters>
  <Lines>9</Lines>
  <Paragraphs>2</Paragraphs>
  <TotalTime>0</TotalTime>
  <ScaleCrop>false</ScaleCrop>
  <LinksUpToDate>false</LinksUpToDate>
  <CharactersWithSpaces>1004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2022-05-26T08:34:00Z</dcterms:created>
  <dc:creator>Legend User</dc:creator>
  <cp:lastModifiedBy>yue</cp:lastModifiedBy>
  <cp:lastPrinted>2019-12-05T07:53:00Z</cp:lastPrinted>
  <dcterms:modified xsi:type="dcterms:W3CDTF">2022-06-10T07:14:51Z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7B487EFB12F64581814D23EDD6667019</vt:lpwstr>
  </property>
</Properties>
</file>